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0D8" w14:textId="0C906ACF" w:rsidR="00AF4EF7" w:rsidRDefault="00AF4EF7" w:rsidP="00AF4EF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</w:pPr>
      <w:r w:rsidRPr="00AF4EF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ART. 21</w:t>
      </w:r>
      <w:r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r w:rsidRPr="00AF4EF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(</w:t>
      </w:r>
      <w:proofErr w:type="spellStart"/>
      <w:r w:rsidRPr="00AF4EF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legea</w:t>
      </w:r>
      <w:proofErr w:type="spellEnd"/>
      <w:r w:rsidRPr="00AF4EF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198</w:t>
      </w:r>
      <w:r w:rsid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/</w:t>
      </w:r>
      <w:r w:rsidRPr="00AF4EF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2023)</w:t>
      </w:r>
    </w:p>
    <w:p w14:paraId="1D24C641" w14:textId="77777777" w:rsidR="00AF4EF7" w:rsidRPr="00AF4EF7" w:rsidRDefault="00AF4EF7" w:rsidP="00AF4EF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</w:pPr>
    </w:p>
    <w:p w14:paraId="5B8C0F21" w14:textId="4B847BC2" w:rsidR="00AF4EF7" w:rsidRPr="003F06A7" w:rsidRDefault="00AF4EF7" w:rsidP="003F06A7">
      <w:pPr>
        <w:pStyle w:val="List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</w:pP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Profesorul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diriginte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informeaza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toti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parintii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cu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privire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la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criteriile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,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conditiile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si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metodologia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acordare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a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burselor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, cu minimum 15 zile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lucratoare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inainte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de data-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limita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pentru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depunerea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cererilor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si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a </w:t>
      </w:r>
      <w:proofErr w:type="spellStart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>documentelor</w:t>
      </w:r>
      <w:proofErr w:type="spellEnd"/>
      <w:r w:rsidRPr="003F06A7"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justificative.</w:t>
      </w:r>
    </w:p>
    <w:p w14:paraId="650ED9BB" w14:textId="77777777" w:rsidR="003F06A7" w:rsidRPr="003F06A7" w:rsidRDefault="003F06A7" w:rsidP="003F06A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ART. 22</w:t>
      </w:r>
    </w:p>
    <w:p w14:paraId="05C3C20A" w14:textId="3EC4DE0C" w:rsidR="003F06A7" w:rsidRPr="003F06A7" w:rsidRDefault="003F06A7" w:rsidP="003F06A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       </w:t>
      </w: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(1) La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nivelul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unitatii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invatamant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preuniversitar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constituie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Comisia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management al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burselor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, care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verifica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si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analizeaza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documentele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depuse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si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stabileste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lista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elevilor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beneficiari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.</w:t>
      </w:r>
    </w:p>
    <w:p w14:paraId="41F7AAB6" w14:textId="77777777" w:rsidR="003F06A7" w:rsidRPr="003F06A7" w:rsidRDefault="003F06A7" w:rsidP="003F06A7">
      <w:pPr>
        <w:pStyle w:val="Listparagraf"/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 </w:t>
      </w:r>
    </w:p>
    <w:p w14:paraId="555CE0FB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(2) Lista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actualizata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fiecare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data cand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necesar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, se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aproba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Consiliul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administratie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unitatii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, se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semneaza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catre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directorul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unitatii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invatamant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si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transmite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inspectoratul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scolar.</w:t>
      </w:r>
    </w:p>
    <w:p w14:paraId="672FE75B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 </w:t>
      </w:r>
    </w:p>
    <w:p w14:paraId="33CB76A9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(3) In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fiecare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unitate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invatamant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elaboreaza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Procedura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interna de management al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burselor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scolare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, in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baza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prezentei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Metodologii-cadru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aprobata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Consiliul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administratie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unitatii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invatamant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.</w:t>
      </w:r>
    </w:p>
    <w:p w14:paraId="1F93FAC0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 </w:t>
      </w:r>
    </w:p>
    <w:p w14:paraId="0B076AED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ART. 23</w:t>
      </w:r>
    </w:p>
    <w:p w14:paraId="369DAB0A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(1) Prima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lista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beneficiari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din anul scolar in curs, pe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tipuri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burse,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mentionata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la art.22 </w:t>
      </w:r>
      <w:proofErr w:type="spellStart"/>
      <w:proofErr w:type="gram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alin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.(</w:t>
      </w:r>
      <w:proofErr w:type="gram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1)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transmisa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unitatea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invatamant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la ISJ/ISMB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pana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in data de 20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octombrie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anului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scolar in curs.</w:t>
      </w:r>
    </w:p>
    <w:p w14:paraId="59B7672A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 </w:t>
      </w:r>
    </w:p>
    <w:p w14:paraId="6BFD8980" w14:textId="77777777" w:rsidR="003F06A7" w:rsidRPr="003F06A7" w:rsidRDefault="003F06A7" w:rsidP="003F06A7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</w:pPr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(2)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Inspectoratul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scolar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transmite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numarul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beneficiari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judet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/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Municipiul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Bucuresti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, pe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tipuri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de burse, la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Ministerul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Educatiei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–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Directia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Generala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Invatamant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Preuniversitar,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pana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la data de 25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octombrie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>anului</w:t>
      </w:r>
      <w:proofErr w:type="spellEnd"/>
      <w:r w:rsidRPr="003F06A7">
        <w:rPr>
          <w:rFonts w:ascii="Lato" w:eastAsia="Times New Roman" w:hAnsi="Lato" w:cs="Times New Roman"/>
          <w:color w:val="000000"/>
          <w:kern w:val="0"/>
          <w:sz w:val="21"/>
          <w:szCs w:val="21"/>
          <w14:ligatures w14:val="none"/>
        </w:rPr>
        <w:t xml:space="preserve"> scolar in curs.</w:t>
      </w:r>
    </w:p>
    <w:p w14:paraId="2E1089D5" w14:textId="77777777" w:rsidR="003F06A7" w:rsidRPr="003F06A7" w:rsidRDefault="003F06A7" w:rsidP="003F06A7">
      <w:pPr>
        <w:shd w:val="clear" w:color="auto" w:fill="FFFFFF"/>
        <w:spacing w:after="0" w:line="360" w:lineRule="auto"/>
        <w:ind w:left="360"/>
        <w:jc w:val="both"/>
        <w:rPr>
          <w:rFonts w:ascii="Lato" w:eastAsia="Times New Roman" w:hAnsi="Lato" w:cs="Times New Roman"/>
          <w:b/>
          <w:bCs/>
          <w:color w:val="FF0000"/>
          <w:kern w:val="0"/>
          <w:sz w:val="21"/>
          <w:szCs w:val="21"/>
          <w14:ligatures w14:val="none"/>
        </w:rPr>
      </w:pPr>
    </w:p>
    <w:p w14:paraId="36559B26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Lato" w:eastAsia="Times New Roman" w:hAnsi="Lato" w:cs="Times New Roman"/>
          <w:b/>
          <w:bCs/>
          <w:color w:val="000000"/>
          <w:kern w:val="0"/>
          <w:sz w:val="27"/>
          <w:szCs w:val="27"/>
          <w14:ligatures w14:val="none"/>
        </w:rPr>
        <w:br/>
      </w: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Bursa de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olimpica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</w:t>
      </w:r>
    </w:p>
    <w:p w14:paraId="0D2DCD63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312CF481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Recompenseaza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elevii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care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premiile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I, II, III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mentiune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la </w:t>
      </w:r>
    </w:p>
    <w:p w14:paraId="24ACD2C7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olimpiade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internationale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151EF4F0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campionatele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sportive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internationale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recunoscute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Ministerul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Educatiei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Jocurile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Olimpice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parteneriat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Comitetul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Olimpic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Sportiv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Roman.</w:t>
      </w:r>
    </w:p>
    <w:p w14:paraId="5FA74A17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FD24952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lunar, pe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intreaga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durata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anului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scolar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urmator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obtinerii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distinctiei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31539705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6ED5788D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Bursa de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olimpica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II</w:t>
      </w:r>
    </w:p>
    <w:p w14:paraId="0E7E9BFB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A32AF3F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Recompenseaza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elevii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care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premiile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I, II, III la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olimpiadele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nationale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organizate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finantate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Ministerul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Educatiei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 </w:t>
      </w:r>
    </w:p>
    <w:p w14:paraId="7579CD2A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5CC0B6D2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lunar, pe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intreaga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durata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anului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scolar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urmator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obtinerii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distinctiei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68328C26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4AE6D330" w14:textId="77777777" w:rsidR="00617E32" w:rsidRDefault="00617E32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   </w:t>
      </w:r>
    </w:p>
    <w:p w14:paraId="0EA2BAE3" w14:textId="77777777" w:rsidR="00617E32" w:rsidRDefault="00617E32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500AC400" w14:textId="77777777" w:rsidR="00617E32" w:rsidRDefault="00617E32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7637834A" w14:textId="13E840CD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Bursa de merit 2023</w:t>
      </w:r>
    </w:p>
    <w:p w14:paraId="4AB4A6E4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F736028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Apreciaza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incurajeaza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efortul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583CA483" w14:textId="3688826A" w:rsidR="001466DE" w:rsidRPr="002A1924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a minim 30% elevi din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fiecare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clasa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ordinea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descrescatoare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mediilor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anuale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/ 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mediilor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admitere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clasa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IX-a</w:t>
      </w:r>
      <w:r w:rsidR="002A1924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). </w:t>
      </w: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Toti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elevii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rezultate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mari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egale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 9,50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primesc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burse. </w:t>
      </w:r>
    </w:p>
    <w:p w14:paraId="03D42F4A" w14:textId="77777777" w:rsidR="002A1924" w:rsidRPr="001466DE" w:rsidRDefault="002A1924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9802875" w14:textId="77777777" w:rsid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elevilor din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loturile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restranse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pregatire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pentru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olimpiadele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internationale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50F9363A" w14:textId="77777777" w:rsidR="002A1924" w:rsidRPr="001466DE" w:rsidRDefault="002A1924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49CD570" w14:textId="77777777" w:rsid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premiantilor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(I, II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III) la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olimpiadele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judetene</w:t>
      </w:r>
      <w:proofErr w:type="spellEnd"/>
    </w:p>
    <w:p w14:paraId="7E5BCC13" w14:textId="77777777" w:rsidR="002A1924" w:rsidRPr="001466DE" w:rsidRDefault="002A1924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FB507B8" w14:textId="77777777" w:rsid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premiantilor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(I) la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concursurile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extrascolare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nationale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recunoscute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finantate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nefinantate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Ministerul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Educatiei</w:t>
      </w:r>
      <w:proofErr w:type="spellEnd"/>
    </w:p>
    <w:p w14:paraId="7676440F" w14:textId="77777777" w:rsidR="002A1924" w:rsidRPr="001466DE" w:rsidRDefault="002A1924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EF61C79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premiantilor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medalii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aur) la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campionatele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nationale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organizate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federatiile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sportive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nationale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sporturi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olimpice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22AF26E6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34741056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merit se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acorda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elevilor pe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baza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rezultatelor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obtinute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la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propunerea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dirigintelui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nefiind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conditionale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depunerea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unei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cereri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63A3715B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040A028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cazul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competitiilor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copiile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certificate ale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diplomelor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obtinute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trebuie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depuse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la scoala, in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primele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25 de zile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calendaristice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la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inceperea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cursurilor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anului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scolar.</w:t>
      </w:r>
    </w:p>
    <w:p w14:paraId="1A4CC7D2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E9A79FD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merit se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lunar, pe perioada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cursurilor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5746A950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07FF81E" w14:textId="77777777" w:rsidR="00AB17E0" w:rsidRDefault="00AB17E0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CDA4A10" w14:textId="77CF8DCD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Bursa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sociala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2023 - 2024</w:t>
      </w:r>
    </w:p>
    <w:p w14:paraId="6D582625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69BC4D94" w14:textId="33D5DC1A" w:rsidR="001466DE" w:rsidRPr="001466DE" w:rsidRDefault="00AB17E0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B17E0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Nivel</w:t>
      </w:r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liceal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A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doua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sansa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minori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),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inclusiv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frecventa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redusa</w:t>
      </w:r>
      <w:proofErr w:type="spellEnd"/>
    </w:p>
    <w:p w14:paraId="77F91595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9BDE7C5" w14:textId="77777777" w:rsidR="001466DE" w:rsidRPr="001466DE" w:rsidRDefault="001466DE" w:rsidP="00AB17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Sustine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participarea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scolara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a:</w:t>
      </w:r>
    </w:p>
    <w:p w14:paraId="7571471B" w14:textId="77777777" w:rsidR="001466DE" w:rsidRPr="001466DE" w:rsidRDefault="001466DE" w:rsidP="00AB17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- elevilor din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familii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cu un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venit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mediu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net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membru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familie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pe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ultimele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12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mic de 50% din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salariul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minim net pe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economie</w:t>
      </w:r>
      <w:proofErr w:type="spellEnd"/>
    </w:p>
    <w:p w14:paraId="15C1CF25" w14:textId="77777777" w:rsidR="001466DE" w:rsidRPr="001466DE" w:rsidRDefault="001466DE" w:rsidP="00AB17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- elevilor cu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unul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ambii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parinti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decedati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respectiv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celor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asupra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carora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 fost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instituita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o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masura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protectie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speciala</w:t>
      </w:r>
      <w:proofErr w:type="spellEnd"/>
    </w:p>
    <w:p w14:paraId="47348D7E" w14:textId="77777777" w:rsidR="001466DE" w:rsidRPr="001466DE" w:rsidRDefault="001466DE" w:rsidP="00AB17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- elevilor din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familii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monoparentale</w:t>
      </w:r>
      <w:proofErr w:type="spellEnd"/>
    </w:p>
    <w:p w14:paraId="4624E673" w14:textId="77777777" w:rsidR="001466DE" w:rsidRPr="001466DE" w:rsidRDefault="001466DE" w:rsidP="00AB17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- elevilor cu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deficiente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afectari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functionale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produse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boli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tulburari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afectiuni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ale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structurilor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functiilor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organismului</w:t>
      </w:r>
      <w:proofErr w:type="spellEnd"/>
    </w:p>
    <w:p w14:paraId="10A9B527" w14:textId="77777777" w:rsidR="001466DE" w:rsidRPr="001466DE" w:rsidRDefault="001466DE" w:rsidP="00AB17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- elevilor din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familii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care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beneficiaza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venit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minim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incluziune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599757CF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E107459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Cererea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declaratia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veniturilor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documentele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doveditoare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trebuie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depuse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la scoala </w:t>
      </w: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in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primele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25 de zile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calendaristice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de la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inceperea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cursurilor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anului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scolar. </w:t>
      </w:r>
    </w:p>
    <w:p w14:paraId="784C2D21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05AB8F6D" w14:textId="1D658620" w:rsidR="004E2DE8" w:rsidRDefault="004E2DE8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 xml:space="preserve">    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Verificarea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conditiilor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venit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se face de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catre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secretarul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unitatii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invatamant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cu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ajutorul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platformei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4E2DE8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PetrimVen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</w:p>
    <w:p w14:paraId="1D6C510A" w14:textId="24819289" w:rsidR="001466DE" w:rsidRPr="001466DE" w:rsidRDefault="004E2DE8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 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Inregistrarea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unitatii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invatamant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PatrimVen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dureaza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cel</w:t>
      </w:r>
      <w:proofErr w:type="spellEnd"/>
      <w:r w:rsidR="001466DE"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mult 3 zile.</w:t>
      </w:r>
    </w:p>
    <w:p w14:paraId="5F6D9E75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0B64E6B1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sociale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lunar, pe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intreaga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durata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anului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scolar, cu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exceptia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lunilor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in care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elevii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cumuleaza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10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mai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multe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absente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38F2D544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56EC57AF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Bursa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tehnologica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2023-2024</w:t>
      </w:r>
    </w:p>
    <w:p w14:paraId="43ECC770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6DABFEFB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Sustine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participarea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reusita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scolara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elevilor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inmatriculati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cadrul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specializarilor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din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invatamantul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profesional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 </w:t>
      </w:r>
    </w:p>
    <w:p w14:paraId="7A61E794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 </w:t>
      </w:r>
    </w:p>
    <w:p w14:paraId="18FE1779" w14:textId="4F5BA654" w:rsidR="001466DE" w:rsidRPr="001466DE" w:rsidRDefault="003E7777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3E7777">
        <w:rPr>
          <w:rFonts w:ascii="Arial" w:eastAsia="Times New Roman" w:hAnsi="Arial" w:cs="Arial"/>
          <w:b/>
          <w:bCs/>
          <w:i/>
          <w:iCs/>
          <w:color w:val="FF0000"/>
          <w:kern w:val="0"/>
          <w:sz w:val="24"/>
          <w:szCs w:val="24"/>
          <w14:ligatures w14:val="none"/>
        </w:rPr>
        <w:t>!!!!!!!!!!!</w:t>
      </w:r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Bursa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tehnologica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nu se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acorda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primele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3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luni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calendaristice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din anul scolar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urmator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in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cazul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in care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elevul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comis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abateri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disciplinare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grave, care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conduc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la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scaderea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mediei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generale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la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purtare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sub nota 7 in anul scolar precedent.</w:t>
      </w:r>
    </w:p>
    <w:p w14:paraId="66D7366D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 </w:t>
      </w:r>
    </w:p>
    <w:p w14:paraId="694FD9A6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Elevii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declarati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repetenti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la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finalul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unui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an scolar nu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beneficiaza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bursa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tehnologica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pentru anul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studiu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 care il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repeta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375D9E48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 </w:t>
      </w:r>
    </w:p>
    <w:p w14:paraId="1D8DF5FE" w14:textId="77777777" w:rsid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tehnologice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lunar, pe perioada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cursurilor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cu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exceptia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lunilor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in care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elevii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cumuleaza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10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multe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absente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nemotivate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3E33AC37" w14:textId="77777777" w:rsidR="002A1924" w:rsidRDefault="002A1924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6A22CFD6" w14:textId="480E116F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48C3848" w14:textId="080D3C1C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Bursa pentru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mame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minore</w:t>
      </w:r>
      <w:proofErr w:type="spellEnd"/>
      <w:r w:rsidR="004E2DE8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!!!!!!!!!!!!!!!</w:t>
      </w:r>
      <w:proofErr w:type="gramEnd"/>
    </w:p>
    <w:p w14:paraId="2257FF72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4EF715D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Bursa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sustine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participarea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reusita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scolara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mamelor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minore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care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frecventeaza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cursurile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zi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au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copil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copii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proprii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in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intretinere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10DCB210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7DA7C8E8" w14:textId="77777777" w:rsidR="001466DE" w:rsidRPr="003E7777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acorda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pe </w:t>
      </w:r>
      <w:proofErr w:type="spellStart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baza</w:t>
      </w:r>
      <w:proofErr w:type="spellEnd"/>
      <w:r w:rsidRPr="001466D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cerere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,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insotita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de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certificatul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de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nastere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al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copilului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/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copiilor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aflati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in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intretinerea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mamei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minore</w:t>
      </w:r>
      <w:proofErr w:type="spellEnd"/>
      <w:r w:rsidRPr="003E777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.</w:t>
      </w:r>
    </w:p>
    <w:p w14:paraId="28D355DB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4E9189D9" w14:textId="01C10DBC" w:rsidR="001466DE" w:rsidRPr="001466DE" w:rsidRDefault="003E7777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  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pentru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mamele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minore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lunar, in perioada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cursurilor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scolare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cu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exceptia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lunilor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in care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elevele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cumuleaza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60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mai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multe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absente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nemotivate</w:t>
      </w:r>
      <w:proofErr w:type="spellEnd"/>
      <w:r w:rsidR="001466DE"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40623B20" w14:textId="77777777" w:rsid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394EE08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E3FF539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4A0C9748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10722A9E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683E668B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7C2AED41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5235B82D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55FB9C4A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2CC08E03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2691D34A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5C987EB5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35E69349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3007193D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4EAC0558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53AEE6BA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761BEF2C" w14:textId="77777777" w:rsidR="004E2DE8" w:rsidRDefault="004E2DE8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138306AE" w14:textId="77D65F88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Cum se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cumuleaza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scolare</w:t>
      </w:r>
      <w:proofErr w:type="spellEnd"/>
    </w:p>
    <w:p w14:paraId="24A402B3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43085D6D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Un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elev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poate beneficia de o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singura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bursa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olimpica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pe an,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respectiv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singura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bursa de merit pe an,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indiferent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rezultatele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obtinute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 anul scolar anterior.</w:t>
      </w:r>
    </w:p>
    <w:p w14:paraId="32F4F49E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A5918F4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Un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elev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poate beneficia de o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singura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bursa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sociala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chiar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daca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indeplineste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multe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criterii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sociale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471F3463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3299B99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Bursa de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olimpica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II nu se </w:t>
      </w:r>
      <w:proofErr w:type="spellStart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cumuleaza</w:t>
      </w:r>
      <w:proofErr w:type="spellEnd"/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 bursa de merit.</w:t>
      </w:r>
    </w:p>
    <w:p w14:paraId="3E430A0F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CE5B43F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Bursa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sociala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bursa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tehnologica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bursa pentru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mame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minore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se pot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cumula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intre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cu bursa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excelenta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olimpica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II/ bursa de merit.</w:t>
      </w:r>
    </w:p>
    <w:p w14:paraId="0340A3B7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61D55A40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Cand se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elevilor, in anul scolar 2023-2024</w:t>
      </w:r>
    </w:p>
    <w:p w14:paraId="50F440FD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456DFE6E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Bursele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platesc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lunar,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catre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unitatile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invatamant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la data de 15 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fiecarei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pentru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precedenta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51570FF4" w14:textId="19012002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  </w:t>
      </w:r>
    </w:p>
    <w:p w14:paraId="140BE341" w14:textId="77777777" w:rsidR="001466DE" w:rsidRPr="001466DE" w:rsidRDefault="001466DE" w:rsidP="00146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Plata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burselor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atat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pentru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septembrie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, cat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pentru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luna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octombrie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anului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curent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se face la data de 15 </w:t>
      </w:r>
      <w:proofErr w:type="spellStart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noiembrie</w:t>
      </w:r>
      <w:proofErr w:type="spellEnd"/>
      <w:r w:rsidRPr="001466DE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0407C2A6" w14:textId="77777777" w:rsidR="001466DE" w:rsidRDefault="001466DE"/>
    <w:p w14:paraId="0DA38975" w14:textId="77777777" w:rsidR="001466DE" w:rsidRDefault="001466DE"/>
    <w:p w14:paraId="1A7E4EBB" w14:textId="77777777" w:rsidR="001466DE" w:rsidRDefault="001466DE"/>
    <w:p w14:paraId="426FA8B5" w14:textId="77777777" w:rsidR="001466DE" w:rsidRDefault="001466DE"/>
    <w:p w14:paraId="55B15427" w14:textId="77777777" w:rsidR="001466DE" w:rsidRDefault="001466DE"/>
    <w:p w14:paraId="173AB420" w14:textId="77777777" w:rsidR="001466DE" w:rsidRDefault="001466DE"/>
    <w:p w14:paraId="69E7E69D" w14:textId="77777777" w:rsidR="001466DE" w:rsidRDefault="001466DE"/>
    <w:p w14:paraId="7CB2006E" w14:textId="77777777" w:rsidR="00617E32" w:rsidRDefault="00617E32"/>
    <w:p w14:paraId="27E77DF0" w14:textId="77777777" w:rsidR="00617E32" w:rsidRDefault="00617E32"/>
    <w:p w14:paraId="390819A8" w14:textId="77777777" w:rsidR="00617E32" w:rsidRDefault="00617E32"/>
    <w:p w14:paraId="04BBD6CF" w14:textId="77777777" w:rsidR="00617E32" w:rsidRDefault="00617E32"/>
    <w:p w14:paraId="071F0D86" w14:textId="77777777" w:rsidR="00617E32" w:rsidRDefault="00617E32"/>
    <w:p w14:paraId="07EE0C81" w14:textId="77777777" w:rsidR="00617E32" w:rsidRDefault="00617E32"/>
    <w:p w14:paraId="23993050" w14:textId="77777777" w:rsidR="00617E32" w:rsidRDefault="00617E32"/>
    <w:p w14:paraId="7DCFA7AC" w14:textId="77777777" w:rsidR="00617E32" w:rsidRDefault="00617E32"/>
    <w:p w14:paraId="6B12A65E" w14:textId="77777777" w:rsidR="00617E32" w:rsidRDefault="00617E32"/>
    <w:p w14:paraId="29424433" w14:textId="77777777" w:rsidR="00617E32" w:rsidRDefault="00617E32"/>
    <w:p w14:paraId="08094282" w14:textId="77777777" w:rsidR="00617E32" w:rsidRDefault="00617E32"/>
    <w:p w14:paraId="1ECB1D27" w14:textId="77777777" w:rsidR="00617E32" w:rsidRDefault="00617E32"/>
    <w:p w14:paraId="7883374C" w14:textId="77777777" w:rsidR="00617E32" w:rsidRDefault="00617E32"/>
    <w:p w14:paraId="183030C3" w14:textId="77777777" w:rsidR="00617E32" w:rsidRDefault="00617E32"/>
    <w:p w14:paraId="15986A78" w14:textId="77777777" w:rsidR="00617E32" w:rsidRDefault="00617E32"/>
    <w:p w14:paraId="153324AB" w14:textId="77777777" w:rsidR="00617E32" w:rsidRDefault="00617E32"/>
    <w:p w14:paraId="43DD27F6" w14:textId="77777777" w:rsidR="001466DE" w:rsidRDefault="001466DE"/>
    <w:p w14:paraId="269C1B08" w14:textId="77777777" w:rsidR="001466DE" w:rsidRDefault="001466DE"/>
    <w:p w14:paraId="37616488" w14:textId="45463C3B" w:rsidR="001466DE" w:rsidRPr="001466DE" w:rsidRDefault="001466DE" w:rsidP="001466DE">
      <w:pPr>
        <w:jc w:val="center"/>
        <w:rPr>
          <w:b/>
          <w:bCs/>
          <w:sz w:val="40"/>
          <w:szCs w:val="40"/>
        </w:rPr>
      </w:pPr>
      <w:r w:rsidRPr="001466DE">
        <w:rPr>
          <w:b/>
          <w:bCs/>
          <w:sz w:val="40"/>
          <w:szCs w:val="40"/>
        </w:rPr>
        <w:t xml:space="preserve">Extras </w:t>
      </w:r>
      <w:proofErr w:type="spellStart"/>
      <w:r w:rsidRPr="001466DE">
        <w:rPr>
          <w:b/>
          <w:bCs/>
          <w:sz w:val="40"/>
          <w:szCs w:val="40"/>
        </w:rPr>
        <w:t>Legea</w:t>
      </w:r>
      <w:proofErr w:type="spellEnd"/>
      <w:r w:rsidRPr="001466DE">
        <w:rPr>
          <w:b/>
          <w:bCs/>
          <w:sz w:val="40"/>
          <w:szCs w:val="40"/>
        </w:rPr>
        <w:t xml:space="preserve"> 198/2023(</w:t>
      </w:r>
      <w:proofErr w:type="spellStart"/>
      <w:r w:rsidRPr="001466DE">
        <w:rPr>
          <w:b/>
          <w:bCs/>
          <w:sz w:val="40"/>
          <w:szCs w:val="40"/>
        </w:rPr>
        <w:t>legea</w:t>
      </w:r>
      <w:proofErr w:type="spellEnd"/>
      <w:r w:rsidRPr="001466DE">
        <w:rPr>
          <w:b/>
          <w:bCs/>
          <w:sz w:val="40"/>
          <w:szCs w:val="40"/>
        </w:rPr>
        <w:t xml:space="preserve"> </w:t>
      </w:r>
      <w:proofErr w:type="spellStart"/>
      <w:r w:rsidRPr="001466DE">
        <w:rPr>
          <w:b/>
          <w:bCs/>
          <w:sz w:val="40"/>
          <w:szCs w:val="40"/>
        </w:rPr>
        <w:t>invatamantului</w:t>
      </w:r>
      <w:proofErr w:type="spellEnd"/>
      <w:r w:rsidRPr="001466DE">
        <w:rPr>
          <w:b/>
          <w:bCs/>
          <w:sz w:val="40"/>
          <w:szCs w:val="40"/>
        </w:rPr>
        <w:t xml:space="preserve"> </w:t>
      </w:r>
      <w:proofErr w:type="spellStart"/>
      <w:r w:rsidRPr="001466DE">
        <w:rPr>
          <w:b/>
          <w:bCs/>
          <w:sz w:val="40"/>
          <w:szCs w:val="40"/>
        </w:rPr>
        <w:t>preuniversitar</w:t>
      </w:r>
      <w:proofErr w:type="spellEnd"/>
      <w:r w:rsidRPr="001466DE">
        <w:rPr>
          <w:b/>
          <w:bCs/>
          <w:sz w:val="40"/>
          <w:szCs w:val="40"/>
        </w:rPr>
        <w:t>)</w:t>
      </w:r>
    </w:p>
    <w:p w14:paraId="29E3F84E" w14:textId="77777777" w:rsidR="001466DE" w:rsidRDefault="001466DE"/>
    <w:p w14:paraId="2D995815" w14:textId="77777777" w:rsidR="001466DE" w:rsidRPr="001466DE" w:rsidRDefault="001466DE" w:rsidP="001466DE">
      <w:pPr>
        <w:shd w:val="clear" w:color="auto" w:fill="FFFFFF"/>
        <w:spacing w:after="75" w:line="450" w:lineRule="atLeast"/>
        <w:jc w:val="both"/>
        <w:outlineLvl w:val="0"/>
        <w:rPr>
          <w:rFonts w:ascii="Cambria" w:eastAsia="Times New Roman" w:hAnsi="Cambria" w:cs="Calibri"/>
          <w:color w:val="2A76A7"/>
          <w:kern w:val="36"/>
          <w:sz w:val="42"/>
          <w:szCs w:val="42"/>
          <w14:ligatures w14:val="none"/>
        </w:rPr>
      </w:pPr>
      <w:proofErr w:type="spellStart"/>
      <w:r w:rsidRPr="001466DE">
        <w:rPr>
          <w:rFonts w:ascii="Cambria" w:eastAsia="Times New Roman" w:hAnsi="Cambria" w:cs="Calibri"/>
          <w:color w:val="2A76A7"/>
          <w:kern w:val="36"/>
          <w:sz w:val="42"/>
          <w:szCs w:val="42"/>
          <w14:ligatures w14:val="none"/>
        </w:rPr>
        <w:t>Bursele</w:t>
      </w:r>
      <w:proofErr w:type="spellEnd"/>
      <w:r w:rsidRPr="001466DE">
        <w:rPr>
          <w:rFonts w:ascii="Cambria" w:eastAsia="Times New Roman" w:hAnsi="Cambria" w:cs="Calibri"/>
          <w:color w:val="2A76A7"/>
          <w:kern w:val="36"/>
          <w:sz w:val="42"/>
          <w:szCs w:val="42"/>
          <w14:ligatures w14:val="none"/>
        </w:rPr>
        <w:t xml:space="preserve"> elevilor | Lege 198/2023</w:t>
      </w:r>
    </w:p>
    <w:p w14:paraId="413DB57D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cursurile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frecvenţă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zi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preuniversitar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stat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obligatoriu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burse.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metodologia-cadru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sunt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aprobate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ordin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ministrului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propunerea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Consiliului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Finanţarea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Preuniversitar,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denumit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continuare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CNFÎP.</w:t>
      </w:r>
    </w:p>
    <w:p w14:paraId="77684E27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(2)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Valoarea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poate fi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suplimentată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către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consiliile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administraţie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unităţilor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funcţie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de:</w:t>
      </w:r>
    </w:p>
    <w:p w14:paraId="612CD4C4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a)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sume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alocate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autorităţile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administraţiei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publice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locale;</w:t>
      </w:r>
    </w:p>
    <w:p w14:paraId="0FEB50C0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b)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venituri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potrivit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legii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51859EA8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(3)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Prin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excepţie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prevederile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begin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instrText>HYPERLINK "https://lege5.ro/Gratuit/geztqmjtgq2tm/legea-invatamantului-preuniversitar-nr-198-2023?pid=532811376&amp;d=2023-09-13" \l "p-532811376" \t "_blank"</w:instrTex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separate"/>
      </w:r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alin</w:t>
      </w:r>
      <w:proofErr w:type="spellEnd"/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. (1)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end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pentru anul şcolar 2023-2024,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este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stabilit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după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:</w:t>
      </w:r>
    </w:p>
    <w:p w14:paraId="0E2462C2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a)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merit - 450 lei/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lună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;</w:t>
      </w:r>
    </w:p>
    <w:p w14:paraId="24ED6A25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b)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- 300 lei/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lună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;</w:t>
      </w:r>
    </w:p>
    <w:p w14:paraId="430DD3B9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c)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tehnologică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- 300 lei/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lună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.</w:t>
      </w:r>
    </w:p>
    <w:p w14:paraId="04804896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lastRenderedPageBreak/>
        <w:t>(4)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 Bursa de merit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o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formă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stimulare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performanţei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elevilor.</w:t>
      </w:r>
    </w:p>
    <w:p w14:paraId="4F04EFEF" w14:textId="77777777" w:rsid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(5)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o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formă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sprijin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gram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dezavantajate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socio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-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economic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grupuri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vulnerabile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situaţii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medicale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speciale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prevăzute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metodologia-cadru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vederea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susţinerii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participării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activităţile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didactice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prevenirii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abandonului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şcolar. </w:t>
      </w:r>
    </w:p>
    <w:p w14:paraId="486D56F1" w14:textId="1D7B29D9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     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Prin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excepţie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la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prevederile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fldChar w:fldCharType="begin"/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instrText>HYPERLINK "https://lege5.ro/Gratuit/geztqmjtgq2tm/legea-invatamantului-preuniversitar-nr-198-2023?pid=532811376&amp;d=2023-09-13" \l "p-532811376" \t "_blank"</w:instrTex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fldChar w:fldCharType="separate"/>
      </w:r>
      <w:r w:rsidRPr="001466DE">
        <w:rPr>
          <w:rFonts w:ascii="Calibri" w:eastAsia="Times New Roman" w:hAnsi="Calibri" w:cs="Calibri"/>
          <w:b/>
          <w:bCs/>
          <w:i/>
          <w:iCs/>
          <w:color w:val="1A86B6"/>
          <w:kern w:val="0"/>
          <w:sz w:val="26"/>
          <w:szCs w:val="26"/>
          <w:u w:val="single"/>
          <w14:ligatures w14:val="none"/>
        </w:rPr>
        <w:t>alin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1A86B6"/>
          <w:kern w:val="0"/>
          <w:sz w:val="26"/>
          <w:szCs w:val="26"/>
          <w:u w:val="single"/>
          <w14:ligatures w14:val="none"/>
        </w:rPr>
        <w:t>. (1)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fldChar w:fldCharType="end"/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se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burse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sociale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elevilor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minori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respectiv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elevilor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risc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excluziune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neangajaţi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pe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piaţa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muncii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înscrişi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formele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frecvenţă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redusă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programele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educaţionale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tip "A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doua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şansă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".</w:t>
      </w:r>
    </w:p>
    <w:p w14:paraId="25AD3B16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(6)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dreptul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păstrarea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confidenţialităţii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identităţii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datelor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caracter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personal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informaţiilor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referitoare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situaţia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dificultate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care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află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01C0852D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(7)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Dreptul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al elevilor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proveniţi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familii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incluziune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conform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Legii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hyperlink r:id="rId5" w:tgtFrame="_blank" w:history="1">
        <w:r w:rsidRPr="001466DE">
          <w:rPr>
            <w:rFonts w:ascii="Calibri" w:eastAsia="Times New Roman" w:hAnsi="Calibri" w:cs="Calibri"/>
            <w:color w:val="1A86B6"/>
            <w:kern w:val="0"/>
            <w:sz w:val="26"/>
            <w:szCs w:val="26"/>
            <w:u w:val="single"/>
            <w14:ligatures w14:val="none"/>
          </w:rPr>
          <w:t>nr. 196/2016</w:t>
        </w:r>
      </w:hyperlink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privind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incluziune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modificările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şi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completările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ulterioare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deciziei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stabilire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dreptului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ajutor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incluziune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familiei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dreptului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se face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comunicării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către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agenţiile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plăţi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inspecţie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judeţene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respectiv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municipiului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Bucureşti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listei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frecventează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frecvenţă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proveniţi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familii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ajutor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incluziune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luna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anterioară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celei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raportare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listei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105935F8" w14:textId="77777777" w:rsidR="001466DE" w:rsidRPr="00617E32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(8)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condiţii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privind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mediu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net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membru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familie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supus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impozitului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conform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metodologiei-cadru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prevăzute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begin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instrText>HYPERLINK "https://lege5.ro/Gratuit/geztqmjtgq2tm/legea-invatamantului-preuniversitar-nr-198-2023?pid=532811376&amp;d=2023-09-13" \l "p-532811376" \t "_blank"</w:instrTex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separate"/>
      </w:r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alin</w:t>
      </w:r>
      <w:proofErr w:type="spellEnd"/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. (1)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end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Verificarea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veniturilor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declarate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părinţii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tutorii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legal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instituiţi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reprezentanţii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legali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ai elevilor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minori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vederea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dreptului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de către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unitatea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se face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solicitarea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eliberării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unui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document care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să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ateste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situaţia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veniturilor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declarate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de către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organul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central fiscal în a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cărui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rază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teritorială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se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află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situat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beneficiarul</w:t>
      </w:r>
      <w:proofErr w:type="spellEnd"/>
      <w:r w:rsidRPr="00617E32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>.</w:t>
      </w:r>
    </w:p>
    <w:p w14:paraId="4978286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(9)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unităţile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desfăşoară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activitatea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mediatori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şcolari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aceştia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sunt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implicaţi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informarea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susţinerea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familiilor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accesarea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gram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altor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forme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sprijin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financiar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unităţile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21B227C5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(10)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tehnologică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o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formă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stimulare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gram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tehnologic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condiţiile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metodologiei-cadru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conformitate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priorităţile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4AAC872F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stimularea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burse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fiind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alocate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funcţie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primite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către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aceştia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după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:</w:t>
      </w:r>
    </w:p>
    <w:p w14:paraId="57CAEF0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a)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bursa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respectiv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premiile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I, II, III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menţiune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olimpiadele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şcolare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respectiv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campionatele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sportive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lastRenderedPageBreak/>
        <w:t>şcolare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recunoscute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Jocurile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parteneriat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Comitetul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Sportiv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Român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elevilor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gimnaziu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liceu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întreaga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durată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gram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şcolar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următor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obţinerii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Prin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excepţie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ultimul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an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studii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liceale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primesc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un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premiu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egal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valoarea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cumulată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pentru un an şcolar;</w:t>
      </w:r>
    </w:p>
    <w:p w14:paraId="1F40373C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b)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bursa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care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respectiv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premiile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I, II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III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olimpiadele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şcolare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organizate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finanţate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elevilor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gimnaziu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liceu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întreaga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durată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gram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şcolar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următor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obţinerii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Prin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excepţie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ultimul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an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studii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liceale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primesc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un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premiu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egal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valoarea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cumulată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pentru un an şcolar.</w:t>
      </w:r>
    </w:p>
    <w:p w14:paraId="7D93B6E9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(12)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preuniversitar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sunt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alocate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bugetul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după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:</w:t>
      </w:r>
    </w:p>
    <w:p w14:paraId="26DCF8BD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a)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merit pentru minimum 30% din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fiecare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clasă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gimnaziu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liceu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dintr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-o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unitate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preuniversitar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cu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respectarea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criteriilor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condiţiilor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stabilite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metodologia-cadru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;</w:t>
      </w:r>
    </w:p>
    <w:p w14:paraId="063F3A50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b)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sociale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toţi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care se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încadrează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criteriile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condiţiile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stabilite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metodologia-cadru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;</w:t>
      </w:r>
    </w:p>
    <w:p w14:paraId="42ACC5C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c)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tehnologice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care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frecventează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învăţământul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tehnologic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care se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încadrează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specializările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condiţiile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stabilite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metodologia-cadru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;</w:t>
      </w:r>
    </w:p>
    <w:p w14:paraId="7918510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d)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 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toţi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care au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obţinut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prevăzute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 (11) </w:t>
      </w:r>
      <w:hyperlink r:id="rId6" w:anchor="p-532811392" w:tgtFrame="_blank" w:history="1">
        <w:r w:rsidRPr="001466DE">
          <w:rPr>
            <w:rFonts w:ascii="Calibri" w:eastAsia="Times New Roman" w:hAnsi="Calibri" w:cs="Calibri"/>
            <w:color w:val="1A86B6"/>
            <w:kern w:val="0"/>
            <w:sz w:val="26"/>
            <w:szCs w:val="26"/>
            <w:u w:val="single"/>
            <w14:ligatures w14:val="none"/>
          </w:rPr>
          <w:t>lit. a)</w:t>
        </w:r>
      </w:hyperlink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hyperlink r:id="rId7" w:anchor="p-532811393" w:tgtFrame="_blank" w:history="1">
        <w:r w:rsidRPr="001466DE">
          <w:rPr>
            <w:rFonts w:ascii="Calibri" w:eastAsia="Times New Roman" w:hAnsi="Calibri" w:cs="Calibri"/>
            <w:color w:val="1A86B6"/>
            <w:kern w:val="0"/>
            <w:sz w:val="26"/>
            <w:szCs w:val="26"/>
            <w:u w:val="single"/>
            <w14:ligatures w14:val="none"/>
          </w:rPr>
          <w:t>b)</w:t>
        </w:r>
      </w:hyperlink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respectarea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metodologiei-cadru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34E8D43B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(13)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părinţii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sunt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informaţi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privire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criteriile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condiţiile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minimum 15 zile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lucrătoare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înainte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data-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limită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depunerea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cererilor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documentelor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justificative.</w:t>
      </w:r>
    </w:p>
    <w:p w14:paraId="6322A3E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(14)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tehnologice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se pot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cumula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tip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42F62E1B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(15)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Prin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excepţie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prevederile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begin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instrText>HYPERLINK "https://lege5.ro/Gratuit/geztqmjtgq2tm/legea-invatamantului-preuniversitar-nr-198-2023?pid=532811376&amp;d=2023-09-13" \l "p-532811376" \t "_blank"</w:instrTex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separate"/>
      </w:r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alin</w:t>
      </w:r>
      <w:proofErr w:type="spellEnd"/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. (1)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end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unităţile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preuniversitar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particular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confesional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de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bugetul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stat,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sume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defalcate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venituri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ale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bugetului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stat, de:</w:t>
      </w:r>
    </w:p>
    <w:p w14:paraId="7953983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a)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burse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II;</w:t>
      </w:r>
    </w:p>
    <w:p w14:paraId="1702C6EE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b)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sociale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dacă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sunt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şcolarizaţi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fără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taxe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;</w:t>
      </w:r>
    </w:p>
    <w:p w14:paraId="6096493D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c)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tehnologice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dacă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încadrează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specializările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condiţiile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stabilite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metodologia-cadru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00848C85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lastRenderedPageBreak/>
        <w:t>(16)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Printre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beneficiarii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merit se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numără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drept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care au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obţinut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premiul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concursurile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şcolare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recunoscute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dacă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nu au fost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finanţate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câştigătorii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medaliilor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aur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campionatele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organizate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federaţiile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sportive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sporturi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precum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categorii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elevi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performanţe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educaţionale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artistice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sportive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conformitate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prevederile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metodologiei-cadru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prevăzute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begin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instrText>HYPERLINK "https://lege5.ro/Gratuit/geztqmjtgq2tm/legea-invatamantului-preuniversitar-nr-198-2023?pid=532811376&amp;d=2023-09-13" \l "p-532811376" \t "_blank"</w:instrTex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separate"/>
      </w:r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alin</w:t>
      </w:r>
      <w:proofErr w:type="spellEnd"/>
      <w:r w:rsidRPr="001466DE">
        <w:rPr>
          <w:rFonts w:ascii="Calibri" w:eastAsia="Times New Roman" w:hAnsi="Calibri" w:cs="Calibri"/>
          <w:color w:val="1A86B6"/>
          <w:kern w:val="0"/>
          <w:sz w:val="26"/>
          <w:szCs w:val="26"/>
          <w:u w:val="single"/>
          <w14:ligatures w14:val="none"/>
        </w:rPr>
        <w:t>. (1)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fldChar w:fldCharType="end"/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780F783F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(17)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este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diferenţiat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funcţie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nivelul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distincţiei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obţinute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după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cum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urmează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:</w:t>
      </w:r>
    </w:p>
    <w:p w14:paraId="0484EFFE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a)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locul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merit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echivalentul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salariului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brut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ţară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garantat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data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;</w:t>
      </w:r>
    </w:p>
    <w:p w14:paraId="08BDC5A6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b)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locul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al II-lea,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merit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echivalentul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75%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salariul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brut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ţară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garantat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data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;</w:t>
      </w:r>
    </w:p>
    <w:p w14:paraId="73542048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c)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locul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al III-lea,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merit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echivalentul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50%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salariul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brut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ţară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garantat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data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;</w:t>
      </w:r>
    </w:p>
    <w:p w14:paraId="7D676616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d)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menţiune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lunar al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merit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internaţional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echivalentul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25%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salariul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minim brut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ţară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garantat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data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acordării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acesteia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;</w:t>
      </w:r>
    </w:p>
    <w:p w14:paraId="02C4449F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e)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 bursa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excelenţă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olimpică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II/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naţională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este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cuantum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700 lei/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lună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poate fi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actualizat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anual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hotărâre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Guvernului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iniţiată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Educaţiei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propunerea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CNFÎP.</w:t>
      </w:r>
    </w:p>
    <w:p w14:paraId="3E892728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(18)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Elevul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care nu </w:t>
      </w:r>
      <w:proofErr w:type="gram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obţinut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media 10 la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purtare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finalul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anului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şcolar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pierde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bursa de merit în anul şcolar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următor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.</w:t>
      </w:r>
    </w:p>
    <w:p w14:paraId="2EB0077F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(19)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Mamele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minore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reintegrate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într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-o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unitate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învăţământ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beneficiază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o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lunară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cuantum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700 de lei, pe perioada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desfăşurării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activităţilor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didactice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cu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condiţia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frecventării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orelor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curs.</w:t>
      </w:r>
    </w:p>
    <w:p w14:paraId="321C5513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(20</w:t>
      </w:r>
      <w:r w:rsidRPr="001466DE">
        <w:rPr>
          <w:rFonts w:ascii="Calibri" w:eastAsia="Times New Roman" w:hAnsi="Calibri" w:cs="Calibri"/>
          <w:b/>
          <w:bCs/>
          <w:i/>
          <w:iCs/>
          <w:color w:val="222222"/>
          <w:kern w:val="0"/>
          <w:sz w:val="26"/>
          <w:szCs w:val="26"/>
          <w14:ligatures w14:val="none"/>
        </w:rPr>
        <w:t>)</w:t>
      </w:r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Sumele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alocate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elevilor sunt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neimpozabile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nu sunt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luate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în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considerare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calculul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venitului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mediu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net lunar pe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membru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familie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necesar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obţinerea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venitului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minim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garantat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, precum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pentru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alte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beneficii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sociale</w:t>
      </w:r>
      <w:proofErr w:type="spellEnd"/>
      <w:r w:rsidRPr="001466DE">
        <w:rPr>
          <w:rFonts w:ascii="Calibri" w:eastAsia="Times New Roman" w:hAnsi="Calibri" w:cs="Calibri"/>
          <w:b/>
          <w:bCs/>
          <w:i/>
          <w:iCs/>
          <w:color w:val="444444"/>
          <w:kern w:val="0"/>
          <w:sz w:val="26"/>
          <w:szCs w:val="26"/>
          <w14:ligatures w14:val="none"/>
        </w:rPr>
        <w:t>.</w:t>
      </w:r>
    </w:p>
    <w:p w14:paraId="03F88DC0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(21)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pot beneficia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tipuri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burse, pe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contract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încheiat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operatori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economici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persoane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juridice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fizice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autoritatea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publică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locală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judeţeană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Acestea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pot fi cumulate cu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bursele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provenite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bugetul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stat.</w:t>
      </w:r>
    </w:p>
    <w:p w14:paraId="7162BC0A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lastRenderedPageBreak/>
        <w:t>(22)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Elevii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străini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din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învăţământul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preuniversitar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pot beneficia de burse,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potrivit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prevederilor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legale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73D4BBCC" w14:textId="77777777" w:rsidR="001466DE" w:rsidRPr="001466DE" w:rsidRDefault="001466DE" w:rsidP="001466D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1466DE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14:ligatures w14:val="none"/>
        </w:rPr>
        <w:t>(23)</w:t>
      </w:r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Statul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român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poate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aloca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anual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hotărâre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Guvernului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un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număr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burse pentru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şcolarizarea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elevilor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cursanţilor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străini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în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baza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acorduri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bilaterale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gram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</w:t>
      </w:r>
      <w:proofErr w:type="gram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ofertei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unilaterale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statului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român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propunerea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ministerelor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interesate</w:t>
      </w:r>
      <w:proofErr w:type="spellEnd"/>
      <w:r w:rsidRPr="001466DE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500B5B7A" w14:textId="77777777" w:rsidR="001466DE" w:rsidRDefault="001466DE"/>
    <w:sectPr w:rsidR="0014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4574"/>
    <w:multiLevelType w:val="multilevel"/>
    <w:tmpl w:val="6D1A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E3EE2"/>
    <w:multiLevelType w:val="hybridMultilevel"/>
    <w:tmpl w:val="AA9E1140"/>
    <w:lvl w:ilvl="0" w:tplc="ADB48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11605">
    <w:abstractNumId w:val="0"/>
  </w:num>
  <w:num w:numId="2" w16cid:durableId="127829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E"/>
    <w:rsid w:val="001466DE"/>
    <w:rsid w:val="002A1924"/>
    <w:rsid w:val="003E7777"/>
    <w:rsid w:val="003F06A7"/>
    <w:rsid w:val="00436DD4"/>
    <w:rsid w:val="004E2DE8"/>
    <w:rsid w:val="00617E32"/>
    <w:rsid w:val="00AB17E0"/>
    <w:rsid w:val="00A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136C"/>
  <w15:chartTrackingRefBased/>
  <w15:docId w15:val="{21BFA401-323B-4ACE-BD2D-BB8E0BA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14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u2">
    <w:name w:val="heading 2"/>
    <w:basedOn w:val="Normal"/>
    <w:link w:val="Titlu2Caracter"/>
    <w:uiPriority w:val="9"/>
    <w:qFormat/>
    <w:rsid w:val="00146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Titlu4">
    <w:name w:val="heading 4"/>
    <w:basedOn w:val="Normal"/>
    <w:link w:val="Titlu4Caracter"/>
    <w:uiPriority w:val="9"/>
    <w:qFormat/>
    <w:rsid w:val="00146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466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rsid w:val="001466D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itlu4Caracter">
    <w:name w:val="Titlu 4 Caracter"/>
    <w:basedOn w:val="Fontdeparagrafimplicit"/>
    <w:link w:val="Titlu4"/>
    <w:uiPriority w:val="9"/>
    <w:rsid w:val="001466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notfreenew">
    <w:name w:val="not_freenew"/>
    <w:basedOn w:val="Normal"/>
    <w:rsid w:val="001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1466DE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1466DE"/>
    <w:rPr>
      <w:b/>
      <w:bCs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146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1466DE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customStyle="1" w:styleId="submit">
    <w:name w:val="submit"/>
    <w:basedOn w:val="Normal"/>
    <w:rsid w:val="001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linright">
    <w:name w:val="alinright"/>
    <w:basedOn w:val="Fontdeparagrafimplicit"/>
    <w:rsid w:val="001466DE"/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146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1466DE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ac">
    <w:name w:val="a_c"/>
    <w:basedOn w:val="Fontdeparagrafimplicit"/>
    <w:rsid w:val="001466DE"/>
  </w:style>
  <w:style w:type="paragraph" w:customStyle="1" w:styleId="al">
    <w:name w:val="a_l"/>
    <w:basedOn w:val="Normal"/>
    <w:rsid w:val="001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c1">
    <w:name w:val="a_c1"/>
    <w:basedOn w:val="Normal"/>
    <w:rsid w:val="001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34"/>
    <w:qFormat/>
    <w:rsid w:val="003F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987005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eztqmjtgq2tm/legea-invatamantului-preuniversitar-nr-198-2023?pid=532811393&amp;d=2023-09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ztqmjtgq2tm/legea-invatamantului-preuniversitar-nr-198-2023?pid=532811392&amp;d=2023-09-13" TargetMode="External"/><Relationship Id="rId5" Type="http://schemas.openxmlformats.org/officeDocument/2006/relationships/hyperlink" Target="https://lege5.ro/Gratuit/geztgnzwgm3q/legea-nr-196-2016-privind-venitul-minim-de-incluziune?d=2023-09-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voinea</dc:creator>
  <cp:keywords/>
  <dc:description/>
  <cp:lastModifiedBy>dolores voinea</cp:lastModifiedBy>
  <cp:revision>6</cp:revision>
  <dcterms:created xsi:type="dcterms:W3CDTF">2023-09-13T05:41:00Z</dcterms:created>
  <dcterms:modified xsi:type="dcterms:W3CDTF">2023-09-13T08:22:00Z</dcterms:modified>
</cp:coreProperties>
</file>